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04" w:rsidRPr="00BB3B39" w:rsidRDefault="00F82304" w:rsidP="00BB3B39">
      <w:pPr>
        <w:spacing w:line="480" w:lineRule="auto"/>
        <w:jc w:val="center"/>
        <w:rPr>
          <w:rFonts w:ascii="Times New Roman" w:hAnsi="Times New Roman" w:cs="Times New Roman"/>
          <w:sz w:val="24"/>
          <w:szCs w:val="24"/>
        </w:rPr>
      </w:pPr>
    </w:p>
    <w:p w:rsidR="00F82304" w:rsidRPr="00BB3B39" w:rsidRDefault="00F82304" w:rsidP="00BB3B39">
      <w:pPr>
        <w:spacing w:line="480" w:lineRule="auto"/>
        <w:jc w:val="center"/>
        <w:rPr>
          <w:rFonts w:ascii="Times New Roman" w:hAnsi="Times New Roman" w:cs="Times New Roman"/>
          <w:sz w:val="24"/>
          <w:szCs w:val="24"/>
        </w:rPr>
      </w:pPr>
    </w:p>
    <w:p w:rsidR="00F912FD" w:rsidRPr="00BB3B39" w:rsidRDefault="00F912FD" w:rsidP="00BB3B39">
      <w:pPr>
        <w:spacing w:line="480" w:lineRule="auto"/>
        <w:jc w:val="center"/>
        <w:rPr>
          <w:rFonts w:ascii="Times New Roman" w:hAnsi="Times New Roman" w:cs="Times New Roman"/>
          <w:sz w:val="24"/>
          <w:szCs w:val="24"/>
        </w:rPr>
      </w:pPr>
    </w:p>
    <w:p w:rsidR="00F912FD" w:rsidRPr="00BB3B39" w:rsidRDefault="00F912FD" w:rsidP="00BB3B39">
      <w:pPr>
        <w:spacing w:line="480" w:lineRule="auto"/>
        <w:jc w:val="center"/>
        <w:rPr>
          <w:rFonts w:ascii="Times New Roman" w:hAnsi="Times New Roman" w:cs="Times New Roman"/>
          <w:sz w:val="24"/>
          <w:szCs w:val="24"/>
        </w:rPr>
      </w:pPr>
    </w:p>
    <w:p w:rsidR="001C240B" w:rsidRPr="00BB3B39" w:rsidRDefault="001C240B"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Patient treatment and social implications</w:t>
      </w:r>
    </w:p>
    <w:p w:rsidR="00F912FD" w:rsidRPr="00BB3B39" w:rsidRDefault="00F912FD"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Student’s Name</w:t>
      </w:r>
    </w:p>
    <w:p w:rsidR="00F912FD" w:rsidRPr="00BB3B39" w:rsidRDefault="00F912FD"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University Affiliation</w:t>
      </w:r>
    </w:p>
    <w:p w:rsidR="00F912FD" w:rsidRPr="00BB3B39" w:rsidRDefault="00F912FD"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Course Name</w:t>
      </w:r>
    </w:p>
    <w:p w:rsidR="00F912FD" w:rsidRPr="00BB3B39" w:rsidRDefault="00F912FD"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Professor’s Name</w:t>
      </w:r>
    </w:p>
    <w:p w:rsidR="004477A2" w:rsidRPr="00BB3B39" w:rsidRDefault="00F912FD"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Date</w:t>
      </w:r>
    </w:p>
    <w:p w:rsidR="004477A2" w:rsidRPr="00BB3B39" w:rsidRDefault="004477A2" w:rsidP="00BB3B39">
      <w:pPr>
        <w:spacing w:line="480" w:lineRule="auto"/>
        <w:rPr>
          <w:rFonts w:ascii="Times New Roman" w:hAnsi="Times New Roman" w:cs="Times New Roman"/>
          <w:sz w:val="24"/>
          <w:szCs w:val="24"/>
        </w:rPr>
      </w:pPr>
      <w:r w:rsidRPr="00BB3B39">
        <w:rPr>
          <w:rFonts w:ascii="Times New Roman" w:hAnsi="Times New Roman" w:cs="Times New Roman"/>
          <w:sz w:val="24"/>
          <w:szCs w:val="24"/>
        </w:rPr>
        <w:br w:type="page"/>
      </w:r>
    </w:p>
    <w:p w:rsidR="00BB3B39" w:rsidRPr="00BB3B39" w:rsidRDefault="00BB3B39"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lastRenderedPageBreak/>
        <w:t>Patient treatment and social implications</w:t>
      </w:r>
    </w:p>
    <w:p w:rsidR="00BB3B39"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Autonomy and ethics are two contributing components in healthcare, to guarantee patients are being dealt with accurately and the office is working as proficiently as could be expected under the circumstances. Patients are given explicit rights that every medicinal services supplier must pursue. Patients in social insurance are additionally given the privilege to self-assurance, enabling them to oversee themselves inside close to home healthcare choices. There are laws and guidelines set up to guarantee patients are remained careful, just as the social insurance offices. When talking about medicinal issues, the strict terms utilized might be befuddling to those endeavoring to decipher. As it is critical for medicinal services suppliers to gain proficiency with their extent of work, it is similarly as imperative for suppliers to instruct their patients of the conceivable medications.</w:t>
      </w:r>
    </w:p>
    <w:p w:rsidR="001C240B"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 It is vital for patients to feel as though they were given a reasonable shot at getting to be solid once more, medicinal services suppliers must audit every one of the subtleties and make sure to guarantee that the patient is completely mindful of what is being said. Through the means of guaranteeing patients understand, is it critical to recall patient rights, to enable patients to settle on choices without impact of medicinal services suppliers, and give a point by point assent type of any treatment. One's ethics and learning of patterns and issues has the ability to impact a supplier for the great. The medicinal services environment is where one can feel safe and realize that what is being done, is to improve things, in this way, patient consideration should a principle center in human services today. </w:t>
      </w:r>
    </w:p>
    <w:p w:rsidR="00BB3B39"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In any healthcare setting, patients are given the privilege to self-assurance and autonomy. Autonomy and self-assurance go hand-in-hand as autonomy is an equivalent word for self-</w:t>
      </w:r>
      <w:r w:rsidRPr="00BB3B39">
        <w:rPr>
          <w:rFonts w:ascii="Times New Roman" w:hAnsi="Times New Roman" w:cs="Times New Roman"/>
          <w:sz w:val="24"/>
          <w:szCs w:val="24"/>
        </w:rPr>
        <w:lastRenderedPageBreak/>
        <w:t>assurance, the rights patients need to settle on educational choices concerning their own therapeutic consideration. Whenever autonomy and self-assurance are available, it is appearing for human nobility, culture, and one's rights. In light of the gallbladder medical procedure assent structure, patients are, truth be told, satisfactorily educated of their medicinal rights. This assent structure clarifies what precisely the method is. As that is valuable, it is up to the healthcare supplier to altogether clarify what every therapeutic term implies, as the normal individual is curious about with such broad medicinal terms.</w:t>
      </w:r>
    </w:p>
    <w:p w:rsidR="00BB3B39"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 It is additionally useful that the patient remains educated task and techniques, the ailment, choices for medications, the guess and the conceivable hazard, just as guaranteeing the patient completely understand what is said in each area. While investigating classes of data on the assent structure, it is critical to guarantee the patient appropriately understands the wording of the sentence and the genuine significance of the words utilized, "The medical caretaker saves, ensures and bolsters patient autonomy by surveying the patient's perception of both the data displayed and the ramifications of choice" (</w:t>
      </w:r>
      <w:r w:rsidR="00BB3B39" w:rsidRPr="00BB3B39">
        <w:rPr>
          <w:rFonts w:ascii="Times New Roman" w:hAnsi="Times New Roman" w:cs="Times New Roman"/>
          <w:color w:val="222222"/>
          <w:sz w:val="24"/>
          <w:szCs w:val="24"/>
          <w:shd w:val="clear" w:color="auto" w:fill="FFFFFF"/>
        </w:rPr>
        <w:t>Schott, 2012</w:t>
      </w:r>
      <w:r w:rsidRPr="00BB3B39">
        <w:rPr>
          <w:rFonts w:ascii="Times New Roman" w:hAnsi="Times New Roman" w:cs="Times New Roman"/>
          <w:sz w:val="24"/>
          <w:szCs w:val="24"/>
        </w:rPr>
        <w:t xml:space="preserve">). As appropriate data is essential, recall that it is at last the patient's choice, not the suppliers. The human services suppliers are to teach patients, they are not to impact or put weight on the choices the patient appearances. </w:t>
      </w:r>
    </w:p>
    <w:p w:rsidR="00BB3B39"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Human services suppliers must consider in numerous regions of data to guarantee that patients legitimately understand everything expressed on the assent structure, just as guarantee they are set up to give satisfactory assent. As it is amazingly urgent for agree to be completely comprehended as it dispenses with issues of negligence that may emerge. As it facilitates law issues, it enables autonomy to be polished legitimately. There are numerous means human services suppliers must take to guarantee patients are completely and accurately educated, the three fundamental advances incorporate; recognize patient rights, enabling patients to settle on </w:t>
      </w:r>
      <w:r w:rsidRPr="00BB3B39">
        <w:rPr>
          <w:rFonts w:ascii="Times New Roman" w:hAnsi="Times New Roman" w:cs="Times New Roman"/>
          <w:sz w:val="24"/>
          <w:szCs w:val="24"/>
        </w:rPr>
        <w:lastRenderedPageBreak/>
        <w:t>choices without the impact or weight of social insurance suppliers, and give a definite assent structure. Recognizing patient rights is usually known as autonomy</w:t>
      </w:r>
      <w:r w:rsidR="00BB3B39" w:rsidRPr="00BB3B39">
        <w:rPr>
          <w:rFonts w:ascii="Times New Roman" w:hAnsi="Times New Roman" w:cs="Times New Roman"/>
          <w:sz w:val="24"/>
          <w:szCs w:val="24"/>
        </w:rPr>
        <w:t xml:space="preserve"> (Frank, 2013)</w:t>
      </w:r>
      <w:r w:rsidRPr="00BB3B39">
        <w:rPr>
          <w:rFonts w:ascii="Times New Roman" w:hAnsi="Times New Roman" w:cs="Times New Roman"/>
          <w:sz w:val="24"/>
          <w:szCs w:val="24"/>
        </w:rPr>
        <w:t xml:space="preserve">. Autonomy relates to self-overseeing, as patients are given the privilege to settle on their own choices relating to their wellbeing. For instance, </w:t>
      </w:r>
      <w:r w:rsidR="00BB3B39" w:rsidRPr="00BB3B39">
        <w:rPr>
          <w:rFonts w:ascii="Times New Roman" w:hAnsi="Times New Roman" w:cs="Times New Roman"/>
          <w:color w:val="1B1B1B"/>
          <w:sz w:val="24"/>
          <w:szCs w:val="24"/>
          <w:shd w:val="clear" w:color="auto" w:fill="FFFFFF"/>
        </w:rPr>
        <w:t xml:space="preserve">the female had multiple surgeries on her right ear for reconstruction of her microtia. Previous work including a silicone elastomer framework, which was unsatisfactory perpetuating her desire to have a bone-anchored auricular prosthesis. After removal of the silicone elastomer framework, she elected to have a bar and clip system to best satisfy her needs </w:t>
      </w:r>
      <w:r w:rsidRPr="00BB3B39">
        <w:rPr>
          <w:rFonts w:ascii="Times New Roman" w:hAnsi="Times New Roman" w:cs="Times New Roman"/>
          <w:sz w:val="24"/>
          <w:szCs w:val="24"/>
        </w:rPr>
        <w:t xml:space="preserve">mindful of the other treatment alternatives they have, including no treatment. </w:t>
      </w:r>
    </w:p>
    <w:p w:rsidR="00BB3B39"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Another significant advance is guaranteeing that medicinal services suppliers are not impacting the choices of patients. Patients are qualified for their own choices, in the event that one may feel constrained into something, it might bring uneasiness upon the patient in light of the fact that the choice made, was not what they had wanted. At long last, it is critical to furnish patients with a point by point and precise assent structure. An assent structure gives insights concerning the treatment picked, it enables patients to be completely mindful of what precisely they are getting, what precisely should be done earlier and post treatment, it audits the conceivable dangers, just as advantages. Furnishing patients with an assent structure gives appropriate instruction, which at that point enables patients to make inquiries about their treatment. Assent frames likewise convey straightforwardness to medicinal services suppliers and offices as it brings down the danger of a claim. On the off chance that patients are completely mindful of all their treatment involves, just as the rights they have, it is then bound to get satisfactory assent from the patient. </w:t>
      </w:r>
    </w:p>
    <w:p w:rsidR="001C240B"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Remaining mindful of social insurance issues and patterns is critical as human services is always expanding. There are in every case new standards, laws, methods for correspondence, </w:t>
      </w:r>
      <w:r w:rsidRPr="00BB3B39">
        <w:rPr>
          <w:rFonts w:ascii="Times New Roman" w:hAnsi="Times New Roman" w:cs="Times New Roman"/>
          <w:sz w:val="24"/>
          <w:szCs w:val="24"/>
        </w:rPr>
        <w:lastRenderedPageBreak/>
        <w:t>and ethics. With the end goal for one to settle on moral choices, they should know about what is correct and what's going on. It's been demonstrated that the better correspondence there will be, there will be more advantages, "Further, correspondence among healthcare colleagues impacts the nature of working connections, work fulfillment and has a significant</w:t>
      </w:r>
      <w:r w:rsidR="00BB3B39" w:rsidRPr="00BB3B39">
        <w:rPr>
          <w:rFonts w:ascii="Times New Roman" w:hAnsi="Times New Roman" w:cs="Times New Roman"/>
          <w:sz w:val="24"/>
          <w:szCs w:val="24"/>
        </w:rPr>
        <w:t xml:space="preserve"> effect of patient wellbeing" (Hem et al, 2018</w:t>
      </w:r>
      <w:r w:rsidRPr="00BB3B39">
        <w:rPr>
          <w:rFonts w:ascii="Times New Roman" w:hAnsi="Times New Roman" w:cs="Times New Roman"/>
          <w:sz w:val="24"/>
          <w:szCs w:val="24"/>
        </w:rPr>
        <w:t xml:space="preserve">.). As contention in social insurance keeps on rising, settling on moral choices winds up simpler as one basically remains mindful. Serious issues can emerge from miscommunication, it is in every case best to screen correspondence to guarantee there will be no issues. By remaining mindful and state-of-the-art on patterns and issues, gives suppliers leverage of realizing how to legitimately manage conditions, instead of settling on a minute ago and forced choices. </w:t>
      </w:r>
    </w:p>
    <w:p w:rsidR="00182F17" w:rsidRPr="00BB3B39" w:rsidRDefault="001C240B"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Taking everything into account, with the assistance of autonomy, self-assurance, one's ethics, and learning, human services authorities will almost certainly give unlimited advantages to patients while protecting patients, alongside social insurance offices. Patients are qualified for some rights, making it critical for medicinal services suppliers to know and pursue the guidelines set up, to secure patients. Autonomy and self-assurance enable patients to settle on choices for themselves, without the impact of medicinal services suppliers. Patients are qualified for this privilege to keep them in happiness as they experience what might be a troublesome time for them. Autonomy likewise demands suppliers to teach their patients on all the nitty gritty points of interest, patients must be completely mindful and understand the little subtleties to guarantee they are given the reasonable treatment they merit. As it is critical to instruct patients, it is likewise imperative to guarantee the supplier isn't affecting or influencing the choice upon a patient, as it is their entitlement to pick their treatment or reject treatment whenever wanted. It is essential for human services offices and suppliers to rehearse guidelines and guidelines to </w:t>
      </w:r>
      <w:r w:rsidRPr="00BB3B39">
        <w:rPr>
          <w:rFonts w:ascii="Times New Roman" w:hAnsi="Times New Roman" w:cs="Times New Roman"/>
          <w:sz w:val="24"/>
          <w:szCs w:val="24"/>
        </w:rPr>
        <w:lastRenderedPageBreak/>
        <w:t>guarantee patients are treated with the farthest regard, while likewise protecting suppliers when issues may emerge.</w:t>
      </w:r>
    </w:p>
    <w:p w:rsidR="00BB3B39" w:rsidRPr="00BB3B39" w:rsidRDefault="00BB3B39" w:rsidP="00BB3B39">
      <w:pPr>
        <w:pStyle w:val="ListParagraph"/>
        <w:numPr>
          <w:ilvl w:val="0"/>
          <w:numId w:val="10"/>
        </w:num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References</w:t>
      </w:r>
    </w:p>
    <w:p w:rsidR="00BB3B39" w:rsidRPr="00BB3B39" w:rsidRDefault="00BB3B39" w:rsidP="00BB3B39">
      <w:pPr>
        <w:spacing w:line="480" w:lineRule="auto"/>
        <w:ind w:left="720" w:hanging="720"/>
        <w:rPr>
          <w:rFonts w:ascii="Times New Roman" w:hAnsi="Times New Roman" w:cs="Times New Roman"/>
          <w:sz w:val="24"/>
          <w:szCs w:val="24"/>
        </w:rPr>
      </w:pPr>
      <w:r w:rsidRPr="00BB3B39">
        <w:rPr>
          <w:rFonts w:ascii="Times New Roman" w:hAnsi="Times New Roman" w:cs="Times New Roman"/>
          <w:sz w:val="24"/>
          <w:szCs w:val="24"/>
        </w:rPr>
        <w:t>Frank, L. (2013). Person-Centered Care, Autonomy, and the Definition of Health. American Journal of Bioethics, 13(8), 59–61. https://doi-org.lopes.idm.oclc.org/10.1080/15265161.2013.802068</w:t>
      </w:r>
    </w:p>
    <w:p w:rsidR="00BB3B39" w:rsidRPr="00BB3B39" w:rsidRDefault="00BB3B39" w:rsidP="00BB3B39">
      <w:pPr>
        <w:spacing w:line="480" w:lineRule="auto"/>
        <w:ind w:left="720" w:hanging="720"/>
        <w:rPr>
          <w:rFonts w:ascii="Times New Roman" w:hAnsi="Times New Roman" w:cs="Times New Roman"/>
          <w:sz w:val="24"/>
          <w:szCs w:val="24"/>
        </w:rPr>
      </w:pPr>
      <w:r w:rsidRPr="00BB3B39">
        <w:rPr>
          <w:rFonts w:ascii="Times New Roman" w:hAnsi="Times New Roman" w:cs="Times New Roman"/>
          <w:sz w:val="24"/>
          <w:szCs w:val="24"/>
        </w:rPr>
        <w:t>Hem, M., Molewijk, B., Gjerberg, E., Lillemoen, L., &amp; Pedersen, R. (June 2018). The significance of ethics reflection groups in mental health care: a focus group study among health care professionals. Retrieved from https://link.springer.com/article/10.1186/s12910-018-0297-y</w:t>
      </w:r>
    </w:p>
    <w:p w:rsidR="00BB3B39" w:rsidRPr="00BB3B39" w:rsidRDefault="00BB3B39" w:rsidP="00BB3B39">
      <w:pPr>
        <w:spacing w:line="480" w:lineRule="auto"/>
        <w:rPr>
          <w:rFonts w:ascii="Times New Roman" w:hAnsi="Times New Roman" w:cs="Times New Roman"/>
          <w:sz w:val="24"/>
          <w:szCs w:val="24"/>
        </w:rPr>
      </w:pPr>
      <w:r w:rsidRPr="00BB3B39">
        <w:rPr>
          <w:rFonts w:ascii="Times New Roman" w:hAnsi="Times New Roman" w:cs="Times New Roman"/>
          <w:color w:val="222222"/>
          <w:sz w:val="24"/>
          <w:szCs w:val="24"/>
          <w:shd w:val="clear" w:color="auto" w:fill="FFFFFF"/>
        </w:rPr>
        <w:t>Schott, R. L. (2012). Abraham Maslow, humanistic psychology,</w:t>
      </w:r>
      <w:r>
        <w:rPr>
          <w:rFonts w:ascii="Times New Roman" w:hAnsi="Times New Roman" w:cs="Times New Roman"/>
          <w:color w:val="222222"/>
          <w:sz w:val="24"/>
          <w:szCs w:val="24"/>
          <w:shd w:val="clear" w:color="auto" w:fill="FFFFFF"/>
        </w:rPr>
        <w:t xml:space="preserve"> and organization leadership: A</w:t>
      </w:r>
      <w:r>
        <w:rPr>
          <w:rFonts w:ascii="Times New Roman" w:hAnsi="Times New Roman" w:cs="Times New Roman"/>
          <w:color w:val="222222"/>
          <w:sz w:val="24"/>
          <w:szCs w:val="24"/>
          <w:shd w:val="clear" w:color="auto" w:fill="FFFFFF"/>
        </w:rPr>
        <w:tab/>
      </w:r>
      <w:r w:rsidRPr="00BB3B39">
        <w:rPr>
          <w:rFonts w:ascii="Times New Roman" w:hAnsi="Times New Roman" w:cs="Times New Roman"/>
          <w:color w:val="222222"/>
          <w:sz w:val="24"/>
          <w:szCs w:val="24"/>
          <w:shd w:val="clear" w:color="auto" w:fill="FFFFFF"/>
        </w:rPr>
        <w:t>Jungian perspective. </w:t>
      </w:r>
      <w:r w:rsidRPr="00BB3B39">
        <w:rPr>
          <w:rFonts w:ascii="Times New Roman" w:hAnsi="Times New Roman" w:cs="Times New Roman"/>
          <w:i/>
          <w:iCs/>
          <w:color w:val="222222"/>
          <w:sz w:val="24"/>
          <w:szCs w:val="24"/>
          <w:shd w:val="clear" w:color="auto" w:fill="FFFFFF"/>
        </w:rPr>
        <w:t>Journal o</w:t>
      </w:r>
    </w:p>
    <w:sectPr w:rsidR="00BB3B39" w:rsidRPr="00BB3B39" w:rsidSect="00260D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84A" w:rsidRDefault="00F4584A" w:rsidP="00260D2A">
      <w:pPr>
        <w:spacing w:after="0" w:line="240" w:lineRule="auto"/>
      </w:pPr>
      <w:r>
        <w:separator/>
      </w:r>
    </w:p>
  </w:endnote>
  <w:endnote w:type="continuationSeparator" w:id="1">
    <w:p w:rsidR="00F4584A" w:rsidRDefault="00F4584A" w:rsidP="00260D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84A" w:rsidRDefault="00F4584A" w:rsidP="00260D2A">
      <w:pPr>
        <w:spacing w:after="0" w:line="240" w:lineRule="auto"/>
      </w:pPr>
      <w:r>
        <w:separator/>
      </w:r>
    </w:p>
  </w:footnote>
  <w:footnote w:type="continuationSeparator" w:id="1">
    <w:p w:rsidR="00F4584A" w:rsidRDefault="00F4584A" w:rsidP="00260D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203920"/>
      <w:docPartObj>
        <w:docPartGallery w:val="Page Numbers (Top of Page)"/>
        <w:docPartUnique/>
      </w:docPartObj>
    </w:sdtPr>
    <w:sdtContent>
      <w:p w:rsidR="00260D2A" w:rsidRDefault="001C240B">
        <w:pPr>
          <w:pStyle w:val="Header"/>
          <w:jc w:val="right"/>
        </w:pPr>
        <w:r>
          <w:rPr>
            <w:rFonts w:ascii="Times New Roman" w:hAnsi="Times New Roman" w:cs="Times New Roman"/>
            <w:sz w:val="24"/>
            <w:szCs w:val="24"/>
          </w:rPr>
          <w:t>P</w:t>
        </w:r>
        <w:r w:rsidRPr="001C240B">
          <w:rPr>
            <w:rFonts w:ascii="Times New Roman" w:hAnsi="Times New Roman" w:cs="Times New Roman"/>
            <w:sz w:val="24"/>
            <w:szCs w:val="24"/>
          </w:rPr>
          <w:t>ATIENT TREATMENT AND SOCIAL IMPLICATIONS</w:t>
        </w:r>
        <w:r w:rsidR="005E0142">
          <w:tab/>
        </w:r>
        <w:fldSimple w:instr=" PAGE   \* MERGEFORMAT ">
          <w:r w:rsidR="00BB3B39">
            <w:rPr>
              <w:noProof/>
            </w:rPr>
            <w:t>2</w:t>
          </w:r>
        </w:fldSimple>
      </w:p>
    </w:sdtContent>
  </w:sdt>
  <w:p w:rsidR="00260D2A" w:rsidRDefault="00260D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2A" w:rsidRPr="00D75492" w:rsidRDefault="00260D2A" w:rsidP="001C240B">
    <w:pPr>
      <w:spacing w:line="480" w:lineRule="auto"/>
      <w:rPr>
        <w:rFonts w:ascii="Times New Roman" w:hAnsi="Times New Roman" w:cs="Times New Roman"/>
        <w:sz w:val="24"/>
        <w:szCs w:val="24"/>
      </w:rPr>
    </w:pPr>
    <w:r w:rsidRPr="00D75492">
      <w:rPr>
        <w:rFonts w:ascii="Times New Roman" w:hAnsi="Times New Roman" w:cs="Times New Roman"/>
        <w:sz w:val="24"/>
        <w:szCs w:val="24"/>
      </w:rPr>
      <w:t xml:space="preserve">Running head: </w:t>
    </w:r>
    <w:r w:rsidR="001C240B">
      <w:rPr>
        <w:rFonts w:ascii="Times New Roman" w:hAnsi="Times New Roman" w:cs="Times New Roman"/>
        <w:sz w:val="24"/>
        <w:szCs w:val="24"/>
      </w:rPr>
      <w:t>P</w:t>
    </w:r>
    <w:r w:rsidR="001C240B" w:rsidRPr="001C240B">
      <w:rPr>
        <w:rFonts w:ascii="Times New Roman" w:hAnsi="Times New Roman" w:cs="Times New Roman"/>
        <w:sz w:val="24"/>
        <w:szCs w:val="24"/>
      </w:rPr>
      <w:t>ATIENT TREATMENT AND SOCIAL IMPLICATIONS</w:t>
    </w:r>
    <w:r w:rsidR="001C240B">
      <w:rPr>
        <w:rFonts w:ascii="Times New Roman" w:hAnsi="Times New Roman" w:cs="Times New Roman"/>
        <w:sz w:val="24"/>
        <w:szCs w:val="24"/>
      </w:rPr>
      <w:tab/>
    </w:r>
    <w:r w:rsidR="001C240B">
      <w:rPr>
        <w:rFonts w:ascii="Times New Roman" w:hAnsi="Times New Roman" w:cs="Times New Roman"/>
        <w:sz w:val="24"/>
        <w:szCs w:val="24"/>
      </w:rPr>
      <w:tab/>
      <w:t xml:space="preserve">          </w:t>
    </w:r>
    <w:r w:rsidR="005E0142">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31E33F8"/>
    <w:lvl w:ilvl="0">
      <w:numFmt w:val="bullet"/>
      <w:lvlText w:val="*"/>
      <w:lvlJc w:val="left"/>
    </w:lvl>
  </w:abstractNum>
  <w:abstractNum w:abstractNumId="1">
    <w:nsid w:val="01A11D89"/>
    <w:multiLevelType w:val="hybridMultilevel"/>
    <w:tmpl w:val="42CA97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90180"/>
    <w:multiLevelType w:val="multilevel"/>
    <w:tmpl w:val="5872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F25AC7"/>
    <w:multiLevelType w:val="multilevel"/>
    <w:tmpl w:val="86A60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23545F"/>
    <w:multiLevelType w:val="multilevel"/>
    <w:tmpl w:val="2C66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BD3136"/>
    <w:multiLevelType w:val="multilevel"/>
    <w:tmpl w:val="0409001D"/>
    <w:styleLink w:val="Style1"/>
    <w:lvl w:ilvl="0">
      <w:start w:val="1"/>
      <w:numFmt w:val="upperRoman"/>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C5E745A"/>
    <w:multiLevelType w:val="hybridMultilevel"/>
    <w:tmpl w:val="C2B8C5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33BF6FB8"/>
    <w:multiLevelType w:val="hybridMultilevel"/>
    <w:tmpl w:val="1E643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B04A39"/>
    <w:multiLevelType w:val="multilevel"/>
    <w:tmpl w:val="50646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B65274B"/>
    <w:multiLevelType w:val="hybridMultilevel"/>
    <w:tmpl w:val="5C4EA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1"/>
  </w:num>
  <w:num w:numId="5">
    <w:abstractNumId w:val="4"/>
  </w:num>
  <w:num w:numId="6">
    <w:abstractNumId w:val="3"/>
  </w:num>
  <w:num w:numId="7">
    <w:abstractNumId w:val="8"/>
  </w:num>
  <w:num w:numId="8">
    <w:abstractNumId w:val="2"/>
  </w:num>
  <w:num w:numId="9">
    <w:abstractNumId w:val="0"/>
    <w:lvlOverride w:ilvl="0">
      <w:lvl w:ilvl="0">
        <w:numFmt w:val="bullet"/>
        <w:lvlText w:val=""/>
        <w:legacy w:legacy="1" w:legacySpace="0" w:legacyIndent="360"/>
        <w:lvlJc w:val="left"/>
        <w:rPr>
          <w:rFonts w:ascii="Symbol" w:hAnsi="Symbol" w:hint="default"/>
        </w:rPr>
      </w:lvl>
    </w:lvlOverride>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D42FB"/>
    <w:rsid w:val="000322D9"/>
    <w:rsid w:val="000C608E"/>
    <w:rsid w:val="000D42FB"/>
    <w:rsid w:val="00101E71"/>
    <w:rsid w:val="00134864"/>
    <w:rsid w:val="00182F17"/>
    <w:rsid w:val="00197DC5"/>
    <w:rsid w:val="001C240B"/>
    <w:rsid w:val="002025A0"/>
    <w:rsid w:val="002048D6"/>
    <w:rsid w:val="00260D2A"/>
    <w:rsid w:val="003238E8"/>
    <w:rsid w:val="00407803"/>
    <w:rsid w:val="0041080B"/>
    <w:rsid w:val="00440E75"/>
    <w:rsid w:val="0044742F"/>
    <w:rsid w:val="004477A2"/>
    <w:rsid w:val="004E47C6"/>
    <w:rsid w:val="005E0142"/>
    <w:rsid w:val="007F1E83"/>
    <w:rsid w:val="007F2F45"/>
    <w:rsid w:val="0084110A"/>
    <w:rsid w:val="008737F9"/>
    <w:rsid w:val="008D19B1"/>
    <w:rsid w:val="00953007"/>
    <w:rsid w:val="00976E83"/>
    <w:rsid w:val="009F24A3"/>
    <w:rsid w:val="00A1063E"/>
    <w:rsid w:val="00B05F96"/>
    <w:rsid w:val="00B10E13"/>
    <w:rsid w:val="00B62F0B"/>
    <w:rsid w:val="00BB3B39"/>
    <w:rsid w:val="00BC2843"/>
    <w:rsid w:val="00BF09BA"/>
    <w:rsid w:val="00D372C6"/>
    <w:rsid w:val="00D62628"/>
    <w:rsid w:val="00D75492"/>
    <w:rsid w:val="00F4584A"/>
    <w:rsid w:val="00F52578"/>
    <w:rsid w:val="00F56278"/>
    <w:rsid w:val="00F82304"/>
    <w:rsid w:val="00F912FD"/>
    <w:rsid w:val="00F970C1"/>
    <w:rsid w:val="00FF0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7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56278"/>
    <w:pPr>
      <w:numPr>
        <w:numId w:val="1"/>
      </w:numPr>
    </w:pPr>
  </w:style>
  <w:style w:type="paragraph" w:styleId="ListParagraph">
    <w:name w:val="List Paragraph"/>
    <w:basedOn w:val="Normal"/>
    <w:uiPriority w:val="34"/>
    <w:qFormat/>
    <w:rsid w:val="00A1063E"/>
    <w:pPr>
      <w:ind w:left="720"/>
      <w:contextualSpacing/>
    </w:pPr>
  </w:style>
  <w:style w:type="character" w:customStyle="1" w:styleId="apple-converted-space">
    <w:name w:val="apple-converted-space"/>
    <w:basedOn w:val="DefaultParagraphFont"/>
    <w:rsid w:val="00F82304"/>
  </w:style>
  <w:style w:type="paragraph" w:styleId="Header">
    <w:name w:val="header"/>
    <w:basedOn w:val="Normal"/>
    <w:link w:val="HeaderChar"/>
    <w:uiPriority w:val="99"/>
    <w:unhideWhenUsed/>
    <w:rsid w:val="0026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D2A"/>
  </w:style>
  <w:style w:type="paragraph" w:styleId="Footer">
    <w:name w:val="footer"/>
    <w:basedOn w:val="Normal"/>
    <w:link w:val="FooterChar"/>
    <w:uiPriority w:val="99"/>
    <w:semiHidden/>
    <w:unhideWhenUsed/>
    <w:rsid w:val="00260D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D2A"/>
  </w:style>
  <w:style w:type="paragraph" w:styleId="NormalWeb">
    <w:name w:val="Normal (Web)"/>
    <w:basedOn w:val="Normal"/>
    <w:uiPriority w:val="99"/>
    <w:semiHidden/>
    <w:unhideWhenUsed/>
    <w:rsid w:val="005E01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cp:lastModifiedBy>
  <cp:revision>3</cp:revision>
  <dcterms:created xsi:type="dcterms:W3CDTF">2019-04-02T13:56:00Z</dcterms:created>
  <dcterms:modified xsi:type="dcterms:W3CDTF">2019-04-02T14:02:00Z</dcterms:modified>
</cp:coreProperties>
</file>